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1A4D" w14:textId="07CEAC8F" w:rsidR="00B07003" w:rsidRPr="00D13550" w:rsidRDefault="00B07003" w:rsidP="00B07003">
      <w:pPr>
        <w:rPr>
          <w:sz w:val="28"/>
          <w:szCs w:val="28"/>
        </w:rPr>
      </w:pPr>
      <w:bookmarkStart w:id="0" w:name="_Hlk64889885"/>
      <w:r w:rsidRPr="00D13550">
        <w:rPr>
          <w:sz w:val="28"/>
          <w:szCs w:val="28"/>
        </w:rPr>
        <w:t xml:space="preserve">Redistricting – </w:t>
      </w:r>
      <w:r w:rsidR="00ED69C0">
        <w:rPr>
          <w:sz w:val="28"/>
          <w:szCs w:val="28"/>
        </w:rPr>
        <w:t>Plan</w:t>
      </w:r>
      <w:r w:rsidRPr="00D13550">
        <w:rPr>
          <w:sz w:val="28"/>
          <w:szCs w:val="28"/>
        </w:rPr>
        <w:t xml:space="preserve"> of </w:t>
      </w:r>
      <w:r>
        <w:rPr>
          <w:sz w:val="28"/>
          <w:szCs w:val="28"/>
        </w:rPr>
        <w:t>A</w:t>
      </w:r>
      <w:r w:rsidRPr="00D13550">
        <w:rPr>
          <w:sz w:val="28"/>
          <w:szCs w:val="28"/>
        </w:rPr>
        <w:t>ction</w:t>
      </w:r>
      <w:r>
        <w:rPr>
          <w:sz w:val="28"/>
          <w:szCs w:val="28"/>
        </w:rPr>
        <w:t xml:space="preserve"> and Budget </w:t>
      </w:r>
      <w:r w:rsidRPr="00D13550">
        <w:rPr>
          <w:sz w:val="28"/>
          <w:szCs w:val="28"/>
        </w:rPr>
        <w:t>(April 1, 2021 – March 30, 2022)</w:t>
      </w:r>
    </w:p>
    <w:p w14:paraId="1546DA63" w14:textId="77777777" w:rsidR="00B07003" w:rsidRPr="0065524B" w:rsidRDefault="00B07003" w:rsidP="00B07003">
      <w:pPr>
        <w:rPr>
          <w:b/>
          <w:bCs/>
          <w:sz w:val="26"/>
          <w:szCs w:val="26"/>
          <w:u w:val="single"/>
        </w:rPr>
      </w:pPr>
      <w:bookmarkStart w:id="1" w:name="_Hlk64890784"/>
      <w:r w:rsidRPr="0065524B">
        <w:rPr>
          <w:b/>
          <w:bCs/>
          <w:sz w:val="26"/>
          <w:szCs w:val="26"/>
          <w:u w:val="single"/>
        </w:rPr>
        <w:t xml:space="preserve">Broad, State-Wide Focus on Fair Process and Public Engagement </w:t>
      </w:r>
      <w:r>
        <w:rPr>
          <w:b/>
          <w:bCs/>
          <w:sz w:val="26"/>
          <w:szCs w:val="26"/>
          <w:u w:val="single"/>
        </w:rPr>
        <w:t xml:space="preserve">  </w:t>
      </w:r>
      <w:r w:rsidRPr="0065524B">
        <w:rPr>
          <w:b/>
          <w:bCs/>
          <w:sz w:val="26"/>
          <w:szCs w:val="26"/>
          <w:u w:val="single"/>
        </w:rPr>
        <w:t xml:space="preserve">= </w:t>
      </w:r>
      <w:r>
        <w:rPr>
          <w:b/>
          <w:bCs/>
          <w:sz w:val="26"/>
          <w:szCs w:val="26"/>
          <w:u w:val="single"/>
        </w:rPr>
        <w:t xml:space="preserve">  </w:t>
      </w:r>
      <w:r w:rsidRPr="0065524B">
        <w:rPr>
          <w:b/>
          <w:bCs/>
          <w:sz w:val="26"/>
          <w:szCs w:val="26"/>
          <w:u w:val="single"/>
        </w:rPr>
        <w:t>$</w:t>
      </w:r>
      <w:r>
        <w:rPr>
          <w:b/>
          <w:bCs/>
          <w:sz w:val="26"/>
          <w:szCs w:val="26"/>
          <w:u w:val="single"/>
        </w:rPr>
        <w:t>52</w:t>
      </w:r>
      <w:r w:rsidRPr="0065524B">
        <w:rPr>
          <w:b/>
          <w:bCs/>
          <w:sz w:val="26"/>
          <w:szCs w:val="26"/>
          <w:u w:val="single"/>
        </w:rPr>
        <w:t>0,000</w:t>
      </w:r>
    </w:p>
    <w:p w14:paraId="5A34B658" w14:textId="77777777" w:rsidR="00B07003" w:rsidRPr="0065524B" w:rsidRDefault="00B07003" w:rsidP="00B07003">
      <w:pPr>
        <w:pStyle w:val="ListParagraph"/>
        <w:numPr>
          <w:ilvl w:val="0"/>
          <w:numId w:val="1"/>
        </w:numPr>
        <w:rPr>
          <w:sz w:val="24"/>
          <w:szCs w:val="24"/>
        </w:rPr>
      </w:pPr>
      <w:r w:rsidRPr="0065524B">
        <w:rPr>
          <w:sz w:val="24"/>
          <w:szCs w:val="24"/>
        </w:rPr>
        <w:t>Providing core coordination and developing clear plans for bringing public engagement to the Congressional and state legislative redistricting processes.</w:t>
      </w:r>
    </w:p>
    <w:p w14:paraId="33443885" w14:textId="77777777" w:rsidR="00B07003" w:rsidRPr="0065524B" w:rsidRDefault="00B07003" w:rsidP="00B07003">
      <w:pPr>
        <w:pStyle w:val="ListParagraph"/>
        <w:numPr>
          <w:ilvl w:val="0"/>
          <w:numId w:val="1"/>
        </w:numPr>
        <w:rPr>
          <w:sz w:val="24"/>
          <w:szCs w:val="24"/>
        </w:rPr>
      </w:pPr>
      <w:r w:rsidRPr="0065524B">
        <w:rPr>
          <w:sz w:val="24"/>
          <w:szCs w:val="24"/>
        </w:rPr>
        <w:t>Educating the public about what redistricting is, why it matters, and how the public can participate. This includes public events, explainers, infographics, short video, data sharing. Communications must be culturally specific – targeted and tailored to resonate with BIPOC communities</w:t>
      </w:r>
      <w:r>
        <w:rPr>
          <w:sz w:val="24"/>
          <w:szCs w:val="24"/>
        </w:rPr>
        <w:t xml:space="preserve"> – and quick to respond.</w:t>
      </w:r>
    </w:p>
    <w:p w14:paraId="5B390508" w14:textId="77777777" w:rsidR="00B07003" w:rsidRPr="0065524B" w:rsidRDefault="00B07003" w:rsidP="00B07003">
      <w:pPr>
        <w:pStyle w:val="ListParagraph"/>
        <w:numPr>
          <w:ilvl w:val="0"/>
          <w:numId w:val="1"/>
        </w:numPr>
        <w:rPr>
          <w:rFonts w:cs="Calibri"/>
          <w:sz w:val="24"/>
          <w:szCs w:val="24"/>
        </w:rPr>
      </w:pPr>
      <w:r w:rsidRPr="0065524B">
        <w:rPr>
          <w:sz w:val="24"/>
          <w:szCs w:val="24"/>
        </w:rPr>
        <w:t>Setting expectations for the commissions’ public engagement and accountability – pushing for hearings &amp; input, including observation that the commissions do not represent the diversity of New Jersey. (</w:t>
      </w:r>
      <w:r w:rsidRPr="0065524B">
        <w:rPr>
          <w:rFonts w:cs="Calibri"/>
          <w:sz w:val="24"/>
          <w:szCs w:val="24"/>
        </w:rPr>
        <w:t>The political parties nominated 10 individuals to serve on the legislative redistricting commission: 6 white men, 2 white women, 1 Black man, and 1 South Asian man – no Latinx member was selected, although NJ’s population is about 21% Latinx.)</w:t>
      </w:r>
    </w:p>
    <w:p w14:paraId="3582DF05" w14:textId="77777777" w:rsidR="00B07003" w:rsidRPr="0065524B" w:rsidRDefault="00B07003" w:rsidP="00B07003">
      <w:pPr>
        <w:pStyle w:val="ListParagraph"/>
        <w:numPr>
          <w:ilvl w:val="0"/>
          <w:numId w:val="1"/>
        </w:numPr>
        <w:rPr>
          <w:sz w:val="24"/>
          <w:szCs w:val="24"/>
        </w:rPr>
      </w:pPr>
      <w:r w:rsidRPr="0065524B">
        <w:rPr>
          <w:sz w:val="24"/>
          <w:szCs w:val="24"/>
        </w:rPr>
        <w:t>Creating a norm that the “tie breakers” should reflect the public’s interests, not the partisan interests of incumbent legislators. Building a support apparatus as necessary, including hosting additional public hearings.</w:t>
      </w:r>
    </w:p>
    <w:p w14:paraId="78B297DB" w14:textId="77777777" w:rsidR="00B07003" w:rsidRPr="0065524B" w:rsidRDefault="00B07003" w:rsidP="00B07003">
      <w:pPr>
        <w:pStyle w:val="ListParagraph"/>
        <w:numPr>
          <w:ilvl w:val="0"/>
          <w:numId w:val="1"/>
        </w:numPr>
        <w:rPr>
          <w:sz w:val="24"/>
          <w:szCs w:val="24"/>
        </w:rPr>
      </w:pPr>
      <w:r w:rsidRPr="0065524B">
        <w:rPr>
          <w:sz w:val="24"/>
          <w:szCs w:val="24"/>
        </w:rPr>
        <w:t>Analyzing the parties’ maps with particular focus on advancing equity in representation.</w:t>
      </w:r>
    </w:p>
    <w:tbl>
      <w:tblPr>
        <w:tblStyle w:val="TableGrid"/>
        <w:tblW w:w="0" w:type="auto"/>
        <w:tblInd w:w="355" w:type="dxa"/>
        <w:tblLook w:val="04A0" w:firstRow="1" w:lastRow="0" w:firstColumn="1" w:lastColumn="0" w:noHBand="0" w:noVBand="1"/>
      </w:tblPr>
      <w:tblGrid>
        <w:gridCol w:w="7290"/>
        <w:gridCol w:w="1620"/>
      </w:tblGrid>
      <w:tr w:rsidR="00B07003" w:rsidRPr="0065524B" w14:paraId="67773DB8" w14:textId="77777777" w:rsidTr="005248FF">
        <w:tc>
          <w:tcPr>
            <w:tcW w:w="7290" w:type="dxa"/>
          </w:tcPr>
          <w:bookmarkEnd w:id="1"/>
          <w:p w14:paraId="7678B2FA" w14:textId="2688A8D3" w:rsidR="00B07003" w:rsidRPr="0065524B" w:rsidRDefault="00B07003" w:rsidP="005248FF">
            <w:pPr>
              <w:rPr>
                <w:sz w:val="24"/>
                <w:szCs w:val="24"/>
              </w:rPr>
            </w:pPr>
            <w:r w:rsidRPr="0065524B">
              <w:rPr>
                <w:sz w:val="24"/>
                <w:szCs w:val="24"/>
              </w:rPr>
              <w:t xml:space="preserve">Fair Districts Coalition </w:t>
            </w:r>
          </w:p>
        </w:tc>
        <w:tc>
          <w:tcPr>
            <w:tcW w:w="1620" w:type="dxa"/>
          </w:tcPr>
          <w:p w14:paraId="0F771BEE" w14:textId="77777777" w:rsidR="00B07003" w:rsidRPr="0065524B" w:rsidRDefault="00B07003" w:rsidP="005248FF">
            <w:pPr>
              <w:jc w:val="right"/>
              <w:rPr>
                <w:sz w:val="24"/>
                <w:szCs w:val="24"/>
              </w:rPr>
            </w:pPr>
            <w:r w:rsidRPr="0065524B">
              <w:rPr>
                <w:sz w:val="24"/>
                <w:szCs w:val="24"/>
              </w:rPr>
              <w:t>$1</w:t>
            </w:r>
            <w:r>
              <w:rPr>
                <w:sz w:val="24"/>
                <w:szCs w:val="24"/>
              </w:rPr>
              <w:t>8</w:t>
            </w:r>
            <w:r w:rsidRPr="0065524B">
              <w:rPr>
                <w:sz w:val="24"/>
                <w:szCs w:val="24"/>
              </w:rPr>
              <w:t>0,000</w:t>
            </w:r>
          </w:p>
        </w:tc>
      </w:tr>
      <w:tr w:rsidR="00B07003" w:rsidRPr="0065524B" w14:paraId="2332C9B6" w14:textId="77777777" w:rsidTr="005248FF">
        <w:tc>
          <w:tcPr>
            <w:tcW w:w="7290" w:type="dxa"/>
          </w:tcPr>
          <w:p w14:paraId="6487A7E3" w14:textId="70069143" w:rsidR="00B07003" w:rsidRPr="0065524B" w:rsidRDefault="00B07003" w:rsidP="005248FF">
            <w:pPr>
              <w:rPr>
                <w:sz w:val="24"/>
                <w:szCs w:val="24"/>
              </w:rPr>
            </w:pPr>
            <w:r w:rsidRPr="0065524B">
              <w:rPr>
                <w:sz w:val="24"/>
                <w:szCs w:val="24"/>
              </w:rPr>
              <w:t>Communications</w:t>
            </w:r>
            <w:r>
              <w:rPr>
                <w:sz w:val="24"/>
                <w:szCs w:val="24"/>
              </w:rPr>
              <w:t xml:space="preserve"> – </w:t>
            </w:r>
            <w:r w:rsidR="004C0996">
              <w:rPr>
                <w:sz w:val="24"/>
                <w:szCs w:val="24"/>
              </w:rPr>
              <w:t>for statewide focus and for community engagement</w:t>
            </w:r>
          </w:p>
        </w:tc>
        <w:tc>
          <w:tcPr>
            <w:tcW w:w="1620" w:type="dxa"/>
          </w:tcPr>
          <w:p w14:paraId="4340ACD2" w14:textId="77777777" w:rsidR="00B07003" w:rsidRPr="0065524B" w:rsidRDefault="00B07003" w:rsidP="005248FF">
            <w:pPr>
              <w:jc w:val="right"/>
              <w:rPr>
                <w:sz w:val="24"/>
                <w:szCs w:val="24"/>
              </w:rPr>
            </w:pPr>
            <w:r w:rsidRPr="0065524B">
              <w:rPr>
                <w:sz w:val="24"/>
                <w:szCs w:val="24"/>
              </w:rPr>
              <w:t>$</w:t>
            </w:r>
            <w:r>
              <w:rPr>
                <w:sz w:val="24"/>
                <w:szCs w:val="24"/>
              </w:rPr>
              <w:t>30</w:t>
            </w:r>
            <w:r w:rsidRPr="0065524B">
              <w:rPr>
                <w:sz w:val="24"/>
                <w:szCs w:val="24"/>
              </w:rPr>
              <w:t>0,000</w:t>
            </w:r>
          </w:p>
        </w:tc>
      </w:tr>
      <w:tr w:rsidR="00B07003" w:rsidRPr="0065524B" w14:paraId="65D18E6E" w14:textId="77777777" w:rsidTr="005248FF">
        <w:tc>
          <w:tcPr>
            <w:tcW w:w="7290" w:type="dxa"/>
          </w:tcPr>
          <w:p w14:paraId="6E71014A" w14:textId="63C180B7" w:rsidR="00B07003" w:rsidRPr="0065524B" w:rsidRDefault="00B07003" w:rsidP="005248FF">
            <w:pPr>
              <w:rPr>
                <w:sz w:val="24"/>
                <w:szCs w:val="24"/>
              </w:rPr>
            </w:pPr>
            <w:r w:rsidRPr="0065524B">
              <w:rPr>
                <w:sz w:val="24"/>
                <w:szCs w:val="24"/>
              </w:rPr>
              <w:t xml:space="preserve">Expert analysis </w:t>
            </w:r>
          </w:p>
        </w:tc>
        <w:tc>
          <w:tcPr>
            <w:tcW w:w="1620" w:type="dxa"/>
          </w:tcPr>
          <w:p w14:paraId="004B5A3D" w14:textId="77777777" w:rsidR="00B07003" w:rsidRPr="0065524B" w:rsidRDefault="00B07003" w:rsidP="005248FF">
            <w:pPr>
              <w:jc w:val="right"/>
              <w:rPr>
                <w:sz w:val="24"/>
                <w:szCs w:val="24"/>
              </w:rPr>
            </w:pPr>
            <w:r w:rsidRPr="0065524B">
              <w:rPr>
                <w:sz w:val="24"/>
                <w:szCs w:val="24"/>
              </w:rPr>
              <w:t>$40,000</w:t>
            </w:r>
          </w:p>
        </w:tc>
      </w:tr>
    </w:tbl>
    <w:p w14:paraId="3351FB9D" w14:textId="77777777" w:rsidR="00B07003" w:rsidRPr="0065524B" w:rsidRDefault="00B07003" w:rsidP="00B07003">
      <w:pPr>
        <w:spacing w:after="0" w:line="240" w:lineRule="auto"/>
        <w:rPr>
          <w:sz w:val="24"/>
          <w:szCs w:val="24"/>
        </w:rPr>
      </w:pPr>
    </w:p>
    <w:p w14:paraId="6B2E7C3E" w14:textId="77777777" w:rsidR="00B07003" w:rsidRPr="0065524B" w:rsidRDefault="00B07003" w:rsidP="00B07003">
      <w:pPr>
        <w:spacing w:before="240"/>
        <w:rPr>
          <w:b/>
          <w:bCs/>
          <w:sz w:val="26"/>
          <w:szCs w:val="26"/>
          <w:u w:val="single"/>
        </w:rPr>
      </w:pPr>
      <w:bookmarkStart w:id="2" w:name="_Hlk64890820"/>
      <w:r w:rsidRPr="0065524B">
        <w:rPr>
          <w:b/>
          <w:bCs/>
          <w:sz w:val="26"/>
          <w:szCs w:val="26"/>
          <w:u w:val="single"/>
        </w:rPr>
        <w:t xml:space="preserve">Community Engagement Prioritizing New Jersey’s Communities of Color </w:t>
      </w:r>
      <w:r>
        <w:rPr>
          <w:b/>
          <w:bCs/>
          <w:sz w:val="26"/>
          <w:szCs w:val="26"/>
          <w:u w:val="single"/>
        </w:rPr>
        <w:t xml:space="preserve">  </w:t>
      </w:r>
      <w:r w:rsidRPr="0065524B">
        <w:rPr>
          <w:b/>
          <w:bCs/>
          <w:sz w:val="26"/>
          <w:szCs w:val="26"/>
          <w:u w:val="single"/>
        </w:rPr>
        <w:t xml:space="preserve">= </w:t>
      </w:r>
      <w:r>
        <w:rPr>
          <w:b/>
          <w:bCs/>
          <w:sz w:val="26"/>
          <w:szCs w:val="26"/>
          <w:u w:val="single"/>
        </w:rPr>
        <w:t xml:space="preserve">  </w:t>
      </w:r>
      <w:r w:rsidRPr="0065524B">
        <w:rPr>
          <w:b/>
          <w:bCs/>
          <w:sz w:val="26"/>
          <w:szCs w:val="26"/>
          <w:u w:val="single"/>
        </w:rPr>
        <w:t>$450,000</w:t>
      </w:r>
    </w:p>
    <w:p w14:paraId="716137ED" w14:textId="361D2A6D" w:rsidR="00B07003" w:rsidRPr="0065524B" w:rsidRDefault="00B07003" w:rsidP="00B07003">
      <w:pPr>
        <w:pStyle w:val="ListParagraph"/>
        <w:numPr>
          <w:ilvl w:val="0"/>
          <w:numId w:val="2"/>
        </w:numPr>
        <w:rPr>
          <w:sz w:val="24"/>
          <w:szCs w:val="24"/>
        </w:rPr>
      </w:pPr>
      <w:r w:rsidRPr="0065524B">
        <w:rPr>
          <w:sz w:val="24"/>
          <w:szCs w:val="24"/>
        </w:rPr>
        <w:t>Supporting community-based leadership to develop organizing, outreach, and technical capacity focused on Latinx, Black, Asian, and immigrant communities. Hiring three full-time organizers: one each fo</w:t>
      </w:r>
      <w:r w:rsidR="00607CA5">
        <w:rPr>
          <w:sz w:val="24"/>
          <w:szCs w:val="24"/>
        </w:rPr>
        <w:t>cused on Black communities, Latinx communities and New Americans (</w:t>
      </w:r>
      <w:proofErr w:type="gramStart"/>
      <w:r w:rsidR="00607CA5">
        <w:rPr>
          <w:sz w:val="24"/>
          <w:szCs w:val="24"/>
        </w:rPr>
        <w:t>first and second generation</w:t>
      </w:r>
      <w:proofErr w:type="gramEnd"/>
      <w:r w:rsidR="00607CA5">
        <w:rPr>
          <w:sz w:val="24"/>
          <w:szCs w:val="24"/>
        </w:rPr>
        <w:t xml:space="preserve"> immigrants).</w:t>
      </w:r>
      <w:r w:rsidRPr="0065524B">
        <w:rPr>
          <w:sz w:val="24"/>
          <w:szCs w:val="24"/>
        </w:rPr>
        <w:t xml:space="preserve"> Cultivating engagement from other organizing groups, including focus on Asian communities.</w:t>
      </w:r>
    </w:p>
    <w:p w14:paraId="39AB8465" w14:textId="77777777" w:rsidR="00B07003" w:rsidRPr="0065524B" w:rsidRDefault="00B07003" w:rsidP="00B07003">
      <w:pPr>
        <w:pStyle w:val="ListParagraph"/>
        <w:numPr>
          <w:ilvl w:val="0"/>
          <w:numId w:val="2"/>
        </w:numPr>
        <w:rPr>
          <w:sz w:val="24"/>
          <w:szCs w:val="24"/>
        </w:rPr>
      </w:pPr>
      <w:r w:rsidRPr="0065524B">
        <w:rPr>
          <w:sz w:val="24"/>
          <w:szCs w:val="24"/>
        </w:rPr>
        <w:t>Empowering community members to advocate for fair representation, to offer testimony and maps to the commissions, to inform public discourse. Sharing racial impact analysis so communities understand how redistricting is connected to their lived experience.</w:t>
      </w:r>
    </w:p>
    <w:p w14:paraId="0402F5EE" w14:textId="77777777" w:rsidR="00B07003" w:rsidRPr="0065524B" w:rsidRDefault="00B07003" w:rsidP="00B07003">
      <w:pPr>
        <w:pStyle w:val="ListParagraph"/>
        <w:numPr>
          <w:ilvl w:val="0"/>
          <w:numId w:val="2"/>
        </w:numPr>
        <w:rPr>
          <w:sz w:val="24"/>
          <w:szCs w:val="24"/>
        </w:rPr>
      </w:pPr>
      <w:r w:rsidRPr="0065524B">
        <w:rPr>
          <w:sz w:val="24"/>
          <w:szCs w:val="24"/>
        </w:rPr>
        <w:t>Supporting community groups to create and analyze district maps and extending expertise through a partnership with Rutgers’ Eagleton Institute.</w:t>
      </w:r>
    </w:p>
    <w:tbl>
      <w:tblPr>
        <w:tblStyle w:val="TableGrid"/>
        <w:tblW w:w="0" w:type="auto"/>
        <w:tblInd w:w="355" w:type="dxa"/>
        <w:tblLook w:val="04A0" w:firstRow="1" w:lastRow="0" w:firstColumn="1" w:lastColumn="0" w:noHBand="0" w:noVBand="1"/>
      </w:tblPr>
      <w:tblGrid>
        <w:gridCol w:w="7241"/>
        <w:gridCol w:w="1693"/>
      </w:tblGrid>
      <w:tr w:rsidR="00B07003" w:rsidRPr="0065524B" w14:paraId="43B4BCDB" w14:textId="77777777" w:rsidTr="005248FF">
        <w:trPr>
          <w:trHeight w:val="299"/>
        </w:trPr>
        <w:tc>
          <w:tcPr>
            <w:tcW w:w="7241" w:type="dxa"/>
          </w:tcPr>
          <w:bookmarkEnd w:id="2"/>
          <w:p w14:paraId="00A159C5" w14:textId="17F16E5E" w:rsidR="00B07003" w:rsidRPr="0065524B" w:rsidRDefault="00B07003" w:rsidP="005248FF">
            <w:pPr>
              <w:rPr>
                <w:sz w:val="24"/>
                <w:szCs w:val="24"/>
              </w:rPr>
            </w:pPr>
            <w:r w:rsidRPr="0065524B">
              <w:rPr>
                <w:sz w:val="24"/>
                <w:szCs w:val="24"/>
              </w:rPr>
              <w:t xml:space="preserve">Three full-time organizers </w:t>
            </w:r>
          </w:p>
        </w:tc>
        <w:tc>
          <w:tcPr>
            <w:tcW w:w="1693" w:type="dxa"/>
          </w:tcPr>
          <w:p w14:paraId="48FD97C8" w14:textId="77777777" w:rsidR="00B07003" w:rsidRPr="0065524B" w:rsidRDefault="00B07003" w:rsidP="005248FF">
            <w:pPr>
              <w:jc w:val="right"/>
              <w:rPr>
                <w:sz w:val="24"/>
                <w:szCs w:val="24"/>
              </w:rPr>
            </w:pPr>
            <w:r w:rsidRPr="0065524B">
              <w:rPr>
                <w:sz w:val="24"/>
                <w:szCs w:val="24"/>
              </w:rPr>
              <w:t>$240,000</w:t>
            </w:r>
          </w:p>
        </w:tc>
      </w:tr>
      <w:tr w:rsidR="00B07003" w:rsidRPr="0065524B" w14:paraId="501E59EB" w14:textId="77777777" w:rsidTr="005248FF">
        <w:trPr>
          <w:trHeight w:val="299"/>
        </w:trPr>
        <w:tc>
          <w:tcPr>
            <w:tcW w:w="7241" w:type="dxa"/>
          </w:tcPr>
          <w:p w14:paraId="07BE03C4" w14:textId="77777777" w:rsidR="00B07003" w:rsidRPr="0065524B" w:rsidRDefault="00B07003" w:rsidP="005248FF">
            <w:pPr>
              <w:rPr>
                <w:sz w:val="24"/>
                <w:szCs w:val="24"/>
              </w:rPr>
            </w:pPr>
            <w:r w:rsidRPr="0065524B">
              <w:rPr>
                <w:sz w:val="24"/>
                <w:szCs w:val="24"/>
              </w:rPr>
              <w:t>Expanded community engagement (smaller grants to 5-6 organizations)</w:t>
            </w:r>
          </w:p>
        </w:tc>
        <w:tc>
          <w:tcPr>
            <w:tcW w:w="1693" w:type="dxa"/>
          </w:tcPr>
          <w:p w14:paraId="1FA32064" w14:textId="77777777" w:rsidR="00B07003" w:rsidRPr="0065524B" w:rsidRDefault="00B07003" w:rsidP="005248FF">
            <w:pPr>
              <w:jc w:val="right"/>
              <w:rPr>
                <w:sz w:val="24"/>
                <w:szCs w:val="24"/>
              </w:rPr>
            </w:pPr>
            <w:r w:rsidRPr="0065524B">
              <w:rPr>
                <w:sz w:val="24"/>
                <w:szCs w:val="24"/>
              </w:rPr>
              <w:t>$150,000</w:t>
            </w:r>
          </w:p>
        </w:tc>
      </w:tr>
      <w:tr w:rsidR="00B07003" w:rsidRPr="0065524B" w14:paraId="412605FF" w14:textId="77777777" w:rsidTr="005248FF">
        <w:trPr>
          <w:trHeight w:val="299"/>
        </w:trPr>
        <w:tc>
          <w:tcPr>
            <w:tcW w:w="7241" w:type="dxa"/>
          </w:tcPr>
          <w:p w14:paraId="376C720D" w14:textId="46A51650" w:rsidR="00B07003" w:rsidRPr="0065524B" w:rsidRDefault="00B07003" w:rsidP="005248FF">
            <w:pPr>
              <w:rPr>
                <w:sz w:val="24"/>
                <w:szCs w:val="24"/>
              </w:rPr>
            </w:pPr>
            <w:r w:rsidRPr="0065524B">
              <w:rPr>
                <w:sz w:val="24"/>
                <w:szCs w:val="24"/>
              </w:rPr>
              <w:t>Technical support for mapping (</w:t>
            </w:r>
            <w:r w:rsidR="00607CA5">
              <w:rPr>
                <w:sz w:val="24"/>
                <w:szCs w:val="24"/>
              </w:rPr>
              <w:t xml:space="preserve">including </w:t>
            </w:r>
            <w:r w:rsidRPr="0065524B">
              <w:rPr>
                <w:sz w:val="24"/>
                <w:szCs w:val="24"/>
              </w:rPr>
              <w:t>software licenses)</w:t>
            </w:r>
          </w:p>
        </w:tc>
        <w:tc>
          <w:tcPr>
            <w:tcW w:w="1693" w:type="dxa"/>
          </w:tcPr>
          <w:p w14:paraId="566022DB" w14:textId="77777777" w:rsidR="00B07003" w:rsidRPr="0065524B" w:rsidRDefault="00B07003" w:rsidP="005248FF">
            <w:pPr>
              <w:jc w:val="right"/>
              <w:rPr>
                <w:sz w:val="24"/>
                <w:szCs w:val="24"/>
              </w:rPr>
            </w:pPr>
            <w:r w:rsidRPr="0065524B">
              <w:rPr>
                <w:sz w:val="24"/>
                <w:szCs w:val="24"/>
              </w:rPr>
              <w:t>$60,000</w:t>
            </w:r>
          </w:p>
        </w:tc>
      </w:tr>
      <w:bookmarkEnd w:id="0"/>
    </w:tbl>
    <w:p w14:paraId="10A77BE9" w14:textId="0449664D" w:rsidR="00ED69C0" w:rsidRDefault="00ED69C0"/>
    <w:p w14:paraId="0EE6447C" w14:textId="4655CB16" w:rsidR="00ED69C0" w:rsidRPr="00ED69C0" w:rsidRDefault="00ED69C0">
      <w:pPr>
        <w:rPr>
          <w:b/>
          <w:bCs/>
          <w:sz w:val="26"/>
          <w:szCs w:val="26"/>
          <w:u w:val="single"/>
        </w:rPr>
      </w:pPr>
      <w:r w:rsidRPr="00ED69C0">
        <w:rPr>
          <w:b/>
          <w:bCs/>
          <w:sz w:val="26"/>
          <w:szCs w:val="26"/>
          <w:u w:val="single"/>
        </w:rPr>
        <w:t>Mechanism for Funding</w:t>
      </w:r>
      <w:r>
        <w:rPr>
          <w:b/>
          <w:bCs/>
          <w:sz w:val="26"/>
          <w:szCs w:val="26"/>
          <w:u w:val="single"/>
        </w:rPr>
        <w:t xml:space="preserve"> </w:t>
      </w:r>
      <w:r w:rsidRPr="00ED69C0">
        <w:rPr>
          <w:b/>
          <w:bCs/>
          <w:sz w:val="26"/>
          <w:szCs w:val="26"/>
          <w:u w:val="single"/>
        </w:rPr>
        <w:t xml:space="preserve"> </w:t>
      </w:r>
      <w:r>
        <w:rPr>
          <w:b/>
          <w:bCs/>
          <w:sz w:val="26"/>
          <w:szCs w:val="26"/>
          <w:u w:val="single"/>
        </w:rPr>
        <w:t xml:space="preserve"> </w:t>
      </w:r>
      <w:r w:rsidRPr="00ED69C0">
        <w:rPr>
          <w:b/>
          <w:bCs/>
          <w:sz w:val="26"/>
          <w:szCs w:val="26"/>
          <w:u w:val="single"/>
        </w:rPr>
        <w:t xml:space="preserve">= </w:t>
      </w:r>
      <w:r>
        <w:rPr>
          <w:b/>
          <w:bCs/>
          <w:sz w:val="26"/>
          <w:szCs w:val="26"/>
          <w:u w:val="single"/>
        </w:rPr>
        <w:t xml:space="preserve">  </w:t>
      </w:r>
      <w:r w:rsidRPr="00ED69C0">
        <w:rPr>
          <w:b/>
          <w:bCs/>
          <w:sz w:val="26"/>
          <w:szCs w:val="26"/>
          <w:u w:val="single"/>
        </w:rPr>
        <w:t xml:space="preserve">$970,000 Pooled Fund </w:t>
      </w:r>
    </w:p>
    <w:sectPr w:rsidR="00ED69C0" w:rsidRPr="00ED69C0" w:rsidSect="00ED69C0">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431E8"/>
    <w:multiLevelType w:val="hybridMultilevel"/>
    <w:tmpl w:val="DD9C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D02F6C"/>
    <w:multiLevelType w:val="hybridMultilevel"/>
    <w:tmpl w:val="0AE68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03"/>
    <w:rsid w:val="004C0996"/>
    <w:rsid w:val="00607CA5"/>
    <w:rsid w:val="00B07003"/>
    <w:rsid w:val="00D31C16"/>
    <w:rsid w:val="00D67E2F"/>
    <w:rsid w:val="00ED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5D8D"/>
  <w15:chartTrackingRefBased/>
  <w15:docId w15:val="{C1302997-916D-47A5-84A2-1C8A367B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03"/>
    <w:pPr>
      <w:ind w:left="720"/>
      <w:contextualSpacing/>
    </w:pPr>
  </w:style>
  <w:style w:type="table" w:styleId="TableGrid">
    <w:name w:val="Table Grid"/>
    <w:basedOn w:val="TableNormal"/>
    <w:uiPriority w:val="39"/>
    <w:rsid w:val="00B07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89B85B10F554F9E9E60A37380F03D" ma:contentTypeVersion="13" ma:contentTypeDescription="Create a new document." ma:contentTypeScope="" ma:versionID="943db77f16cf4e2d849a146e4b1bc5ed">
  <xsd:schema xmlns:xsd="http://www.w3.org/2001/XMLSchema" xmlns:xs="http://www.w3.org/2001/XMLSchema" xmlns:p="http://schemas.microsoft.com/office/2006/metadata/properties" xmlns:ns2="933a179a-67b7-496b-ada9-f35322fc2413" xmlns:ns3="ffdecf97-3298-42e6-9afd-d83966075075" targetNamespace="http://schemas.microsoft.com/office/2006/metadata/properties" ma:root="true" ma:fieldsID="7fc9a1bb9385e601d1902ad7c9bf3ddc" ns2:_="" ns3:_="">
    <xsd:import namespace="933a179a-67b7-496b-ada9-f35322fc2413"/>
    <xsd:import namespace="ffdecf97-3298-42e6-9afd-d839660750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a179a-67b7-496b-ada9-f35322fc24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ecf97-3298-42e6-9afd-d839660750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7BE4F-450B-41B2-902C-76E0B5E8F0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B9B86-1232-457E-9E0A-DC473E24DB12}">
  <ds:schemaRefs>
    <ds:schemaRef ds:uri="http://schemas.microsoft.com/sharepoint/v3/contenttype/forms"/>
  </ds:schemaRefs>
</ds:datastoreItem>
</file>

<file path=customXml/itemProps3.xml><?xml version="1.0" encoding="utf-8"?>
<ds:datastoreItem xmlns:ds="http://schemas.openxmlformats.org/officeDocument/2006/customXml" ds:itemID="{6A342CAF-D6E1-452F-B6DC-65A131664251}"/>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Jamieson</dc:creator>
  <cp:keywords/>
  <dc:description/>
  <cp:lastModifiedBy>Kiki Jamieson</cp:lastModifiedBy>
  <cp:revision>2</cp:revision>
  <dcterms:created xsi:type="dcterms:W3CDTF">2021-04-01T23:59:00Z</dcterms:created>
  <dcterms:modified xsi:type="dcterms:W3CDTF">2021-04-01T23:59:00Z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0x01010020C89B85B10F554F9E9E60A37380F03D</vt:lpwstr>
  </property>
</Properties>
</file>